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CB3" w:rsidRPr="00822D04" w:rsidRDefault="00912CB3" w:rsidP="0029583A">
      <w:pPr>
        <w:widowControl w:val="0"/>
        <w:suppressAutoHyphens/>
        <w:spacing w:after="0" w:line="480" w:lineRule="auto"/>
        <w:contextualSpacing/>
        <w:jc w:val="center"/>
        <w:rPr>
          <w:rFonts w:ascii="Times New Roman" w:hAnsi="Times New Roman" w:cs="Times New Roman"/>
          <w:sz w:val="24"/>
          <w:szCs w:val="24"/>
        </w:rPr>
      </w:pPr>
    </w:p>
    <w:p w:rsidR="0029583A" w:rsidRPr="00822D04" w:rsidRDefault="0029583A" w:rsidP="0029583A">
      <w:pPr>
        <w:widowControl w:val="0"/>
        <w:suppressAutoHyphens/>
        <w:spacing w:after="0" w:line="480" w:lineRule="auto"/>
        <w:contextualSpacing/>
        <w:jc w:val="center"/>
        <w:rPr>
          <w:rFonts w:ascii="Times New Roman" w:hAnsi="Times New Roman" w:cs="Times New Roman"/>
          <w:sz w:val="24"/>
          <w:szCs w:val="24"/>
        </w:rPr>
      </w:pPr>
    </w:p>
    <w:p w:rsidR="0029583A" w:rsidRPr="00822D04" w:rsidRDefault="0029583A" w:rsidP="0029583A">
      <w:pPr>
        <w:widowControl w:val="0"/>
        <w:suppressAutoHyphens/>
        <w:spacing w:after="0" w:line="480" w:lineRule="auto"/>
        <w:contextualSpacing/>
        <w:jc w:val="center"/>
        <w:rPr>
          <w:rFonts w:ascii="Times New Roman" w:hAnsi="Times New Roman" w:cs="Times New Roman"/>
          <w:sz w:val="24"/>
          <w:szCs w:val="24"/>
        </w:rPr>
      </w:pPr>
    </w:p>
    <w:p w:rsidR="0029583A" w:rsidRPr="00822D04" w:rsidRDefault="0029583A" w:rsidP="0029583A">
      <w:pPr>
        <w:widowControl w:val="0"/>
        <w:suppressAutoHyphens/>
        <w:spacing w:after="0" w:line="480" w:lineRule="auto"/>
        <w:contextualSpacing/>
        <w:jc w:val="center"/>
        <w:rPr>
          <w:rFonts w:ascii="Times New Roman" w:hAnsi="Times New Roman" w:cs="Times New Roman"/>
          <w:sz w:val="24"/>
          <w:szCs w:val="24"/>
        </w:rPr>
      </w:pPr>
    </w:p>
    <w:p w:rsidR="0029583A" w:rsidRPr="00822D04" w:rsidRDefault="0029583A" w:rsidP="0029583A">
      <w:pPr>
        <w:widowControl w:val="0"/>
        <w:suppressAutoHyphens/>
        <w:spacing w:after="0" w:line="480" w:lineRule="auto"/>
        <w:contextualSpacing/>
        <w:jc w:val="center"/>
        <w:rPr>
          <w:rFonts w:ascii="Times New Roman" w:hAnsi="Times New Roman" w:cs="Times New Roman"/>
          <w:sz w:val="24"/>
          <w:szCs w:val="24"/>
        </w:rPr>
      </w:pPr>
    </w:p>
    <w:p w:rsidR="0029583A" w:rsidRPr="00822D04" w:rsidRDefault="0029583A" w:rsidP="0029583A">
      <w:pPr>
        <w:widowControl w:val="0"/>
        <w:suppressAutoHyphens/>
        <w:spacing w:after="0" w:line="480" w:lineRule="auto"/>
        <w:contextualSpacing/>
        <w:jc w:val="center"/>
        <w:rPr>
          <w:rFonts w:ascii="Times New Roman" w:hAnsi="Times New Roman" w:cs="Times New Roman"/>
          <w:sz w:val="24"/>
          <w:szCs w:val="24"/>
        </w:rPr>
      </w:pPr>
    </w:p>
    <w:p w:rsidR="0029583A" w:rsidRPr="00822D04" w:rsidRDefault="0029583A" w:rsidP="0029583A">
      <w:pPr>
        <w:widowControl w:val="0"/>
        <w:suppressAutoHyphens/>
        <w:spacing w:after="0" w:line="480" w:lineRule="auto"/>
        <w:contextualSpacing/>
        <w:jc w:val="center"/>
        <w:rPr>
          <w:rFonts w:ascii="Times New Roman" w:hAnsi="Times New Roman" w:cs="Times New Roman"/>
          <w:sz w:val="24"/>
          <w:szCs w:val="24"/>
        </w:rPr>
      </w:pPr>
    </w:p>
    <w:p w:rsidR="00912CB3" w:rsidRPr="00822D04" w:rsidRDefault="00912CB3" w:rsidP="0029583A">
      <w:pPr>
        <w:widowControl w:val="0"/>
        <w:suppressAutoHyphens/>
        <w:spacing w:after="0" w:line="480" w:lineRule="auto"/>
        <w:contextualSpacing/>
        <w:jc w:val="center"/>
        <w:rPr>
          <w:rFonts w:ascii="Times New Roman" w:hAnsi="Times New Roman" w:cs="Times New Roman"/>
          <w:sz w:val="24"/>
          <w:szCs w:val="24"/>
        </w:rPr>
      </w:pPr>
      <w:bookmarkStart w:id="0" w:name="_GoBack"/>
      <w:bookmarkEnd w:id="0"/>
    </w:p>
    <w:p w:rsidR="00912CB3" w:rsidRPr="00822D04" w:rsidRDefault="00912CB3" w:rsidP="0029583A">
      <w:pPr>
        <w:widowControl w:val="0"/>
        <w:tabs>
          <w:tab w:val="left" w:pos="960"/>
        </w:tabs>
        <w:suppressAutoHyphens/>
        <w:spacing w:after="0" w:line="480" w:lineRule="auto"/>
        <w:contextualSpacing/>
        <w:rPr>
          <w:rFonts w:ascii="Times New Roman" w:hAnsi="Times New Roman" w:cs="Times New Roman"/>
          <w:sz w:val="24"/>
          <w:szCs w:val="24"/>
        </w:rPr>
      </w:pPr>
      <w:r w:rsidRPr="00822D04">
        <w:rPr>
          <w:rFonts w:ascii="Times New Roman" w:hAnsi="Times New Roman" w:cs="Times New Roman"/>
          <w:sz w:val="24"/>
          <w:szCs w:val="24"/>
        </w:rPr>
        <w:tab/>
      </w:r>
    </w:p>
    <w:p w:rsidR="00912CB3" w:rsidRPr="00822D04" w:rsidRDefault="00912CB3" w:rsidP="0029583A">
      <w:pPr>
        <w:widowControl w:val="0"/>
        <w:suppressAutoHyphens/>
        <w:spacing w:after="0" w:line="480" w:lineRule="auto"/>
        <w:contextualSpacing/>
        <w:jc w:val="center"/>
        <w:rPr>
          <w:rFonts w:ascii="Times New Roman" w:hAnsi="Times New Roman" w:cs="Times New Roman"/>
          <w:sz w:val="24"/>
          <w:szCs w:val="24"/>
        </w:rPr>
      </w:pPr>
    </w:p>
    <w:p w:rsidR="00912CB3" w:rsidRPr="00822D04" w:rsidRDefault="00912CB3" w:rsidP="0029583A">
      <w:pPr>
        <w:widowControl w:val="0"/>
        <w:suppressAutoHyphens/>
        <w:spacing w:after="0" w:line="480" w:lineRule="auto"/>
        <w:contextualSpacing/>
        <w:jc w:val="center"/>
        <w:rPr>
          <w:rFonts w:ascii="Times New Roman" w:hAnsi="Times New Roman" w:cs="Times New Roman"/>
          <w:sz w:val="24"/>
          <w:szCs w:val="24"/>
        </w:rPr>
      </w:pPr>
    </w:p>
    <w:p w:rsidR="0028741C" w:rsidRPr="00822D04" w:rsidRDefault="004552D0" w:rsidP="0029583A">
      <w:pPr>
        <w:shd w:val="clear" w:color="auto" w:fill="FFFFFF"/>
        <w:spacing w:after="0" w:line="480" w:lineRule="auto"/>
        <w:contextualSpacing/>
        <w:jc w:val="center"/>
        <w:rPr>
          <w:rFonts w:ascii="Times New Roman" w:eastAsia="Times New Roman" w:hAnsi="Times New Roman" w:cs="Times New Roman"/>
          <w:sz w:val="24"/>
          <w:szCs w:val="24"/>
        </w:rPr>
      </w:pPr>
      <w:r w:rsidRPr="00822D04">
        <w:rPr>
          <w:rFonts w:ascii="Times New Roman" w:eastAsia="Times New Roman" w:hAnsi="Times New Roman" w:cs="Times New Roman"/>
          <w:sz w:val="24"/>
          <w:szCs w:val="24"/>
        </w:rPr>
        <w:t xml:space="preserve">Bricolage </w:t>
      </w:r>
    </w:p>
    <w:p w:rsidR="00912CB3" w:rsidRPr="00822D04" w:rsidRDefault="00912CB3" w:rsidP="0029583A">
      <w:pPr>
        <w:widowControl w:val="0"/>
        <w:suppressAutoHyphens/>
        <w:spacing w:after="0" w:line="480" w:lineRule="auto"/>
        <w:contextualSpacing/>
        <w:jc w:val="center"/>
        <w:rPr>
          <w:rFonts w:ascii="Times New Roman" w:eastAsia="Lucida Sans Unicode" w:hAnsi="Times New Roman" w:cs="Times New Roman"/>
          <w:kern w:val="2"/>
          <w:sz w:val="24"/>
          <w:szCs w:val="24"/>
          <w:lang w:val="en-GB" w:eastAsia="hi-IN" w:bidi="hi-IN"/>
        </w:rPr>
      </w:pPr>
      <w:r w:rsidRPr="00822D04">
        <w:rPr>
          <w:rFonts w:ascii="Times New Roman" w:eastAsia="Lucida Sans Unicode" w:hAnsi="Times New Roman" w:cs="Times New Roman"/>
          <w:kern w:val="2"/>
          <w:sz w:val="24"/>
          <w:szCs w:val="24"/>
          <w:lang w:val="en-GB" w:eastAsia="hi-IN" w:bidi="hi-IN"/>
        </w:rPr>
        <w:t>Student’s Name</w:t>
      </w:r>
    </w:p>
    <w:p w:rsidR="00912CB3" w:rsidRPr="00822D04" w:rsidRDefault="00912CB3" w:rsidP="0029583A">
      <w:pPr>
        <w:widowControl w:val="0"/>
        <w:tabs>
          <w:tab w:val="left" w:pos="3110"/>
          <w:tab w:val="center" w:pos="4680"/>
        </w:tabs>
        <w:suppressAutoHyphens/>
        <w:spacing w:after="0" w:line="480" w:lineRule="auto"/>
        <w:contextualSpacing/>
        <w:jc w:val="center"/>
        <w:rPr>
          <w:rFonts w:ascii="Times New Roman" w:eastAsia="Lucida Sans Unicode" w:hAnsi="Times New Roman" w:cs="Times New Roman"/>
          <w:kern w:val="2"/>
          <w:sz w:val="24"/>
          <w:szCs w:val="24"/>
          <w:lang w:val="en-GB" w:eastAsia="hi-IN" w:bidi="hi-IN"/>
        </w:rPr>
      </w:pPr>
      <w:r w:rsidRPr="00822D04">
        <w:rPr>
          <w:rFonts w:ascii="Times New Roman" w:eastAsia="Lucida Sans Unicode" w:hAnsi="Times New Roman" w:cs="Times New Roman"/>
          <w:kern w:val="2"/>
          <w:sz w:val="24"/>
          <w:szCs w:val="24"/>
          <w:lang w:val="en-GB" w:eastAsia="hi-IN" w:bidi="hi-IN"/>
        </w:rPr>
        <w:t>Institution’s Name</w:t>
      </w:r>
    </w:p>
    <w:p w:rsidR="00912CB3" w:rsidRPr="00822D04" w:rsidRDefault="00912CB3" w:rsidP="0029583A">
      <w:pPr>
        <w:spacing w:after="0" w:line="480" w:lineRule="auto"/>
        <w:contextualSpacing/>
        <w:rPr>
          <w:rFonts w:ascii="Times New Roman" w:hAnsi="Times New Roman" w:cs="Times New Roman"/>
          <w:sz w:val="24"/>
          <w:szCs w:val="24"/>
        </w:rPr>
      </w:pPr>
      <w:r w:rsidRPr="00822D04">
        <w:rPr>
          <w:rFonts w:ascii="Times New Roman" w:hAnsi="Times New Roman" w:cs="Times New Roman"/>
          <w:sz w:val="24"/>
          <w:szCs w:val="24"/>
        </w:rPr>
        <w:br w:type="page"/>
      </w:r>
    </w:p>
    <w:p w:rsidR="004552D0" w:rsidRPr="00822D04" w:rsidRDefault="004552D0" w:rsidP="0029583A">
      <w:pPr>
        <w:spacing w:after="0" w:line="480" w:lineRule="auto"/>
        <w:ind w:firstLine="720"/>
        <w:contextualSpacing/>
        <w:jc w:val="both"/>
        <w:rPr>
          <w:rFonts w:ascii="Times New Roman" w:hAnsi="Times New Roman" w:cs="Times New Roman"/>
          <w:sz w:val="24"/>
          <w:szCs w:val="24"/>
        </w:rPr>
      </w:pPr>
      <w:r w:rsidRPr="00822D04">
        <w:rPr>
          <w:rFonts w:ascii="Times New Roman" w:hAnsi="Times New Roman" w:cs="Times New Roman"/>
          <w:sz w:val="24"/>
          <w:szCs w:val="24"/>
        </w:rPr>
        <w:lastRenderedPageBreak/>
        <w:t xml:space="preserve"> The main strategy that I have chosen to discuss in this scenario relates to the Bricolage aggressive move. Appreciably, Bricolage is a move that has been borrowed from arts and it emphasizes on moves that aim at creating new markets. Bricolage is a simple process that uses the available resources to produce a good or service </w:t>
      </w:r>
      <w:r w:rsidR="007E72FB" w:rsidRPr="00822D04">
        <w:rPr>
          <w:rFonts w:ascii="Times New Roman" w:hAnsi="Times New Roman" w:cs="Times New Roman"/>
          <w:sz w:val="24"/>
          <w:szCs w:val="24"/>
          <w:shd w:val="clear" w:color="auto" w:fill="FFFFFF"/>
        </w:rPr>
        <w:t>("Supporting the Business-Level Strategy: Competitive and Cooperative Moves," n.d.)</w:t>
      </w:r>
      <w:r w:rsidRPr="00822D04">
        <w:rPr>
          <w:rFonts w:ascii="Times New Roman" w:hAnsi="Times New Roman" w:cs="Times New Roman"/>
          <w:sz w:val="24"/>
          <w:szCs w:val="24"/>
        </w:rPr>
        <w:t xml:space="preserve">. The ability of the process to use the available inputs to complete a production makes it stand out from the rest that is why I have chosen it. The combination of ideas from various minds gives a competitive advantage over the rest. </w:t>
      </w:r>
    </w:p>
    <w:p w:rsidR="004552D0" w:rsidRPr="00822D04" w:rsidRDefault="004552D0" w:rsidP="0029583A">
      <w:pPr>
        <w:spacing w:after="0" w:line="480" w:lineRule="auto"/>
        <w:ind w:firstLine="720"/>
        <w:contextualSpacing/>
        <w:jc w:val="both"/>
        <w:rPr>
          <w:rFonts w:ascii="Times New Roman" w:hAnsi="Times New Roman" w:cs="Times New Roman"/>
          <w:sz w:val="24"/>
          <w:szCs w:val="24"/>
        </w:rPr>
      </w:pPr>
      <w:r w:rsidRPr="00822D04">
        <w:rPr>
          <w:rFonts w:ascii="Times New Roman" w:hAnsi="Times New Roman" w:cs="Times New Roman"/>
          <w:sz w:val="24"/>
          <w:szCs w:val="24"/>
        </w:rPr>
        <w:t xml:space="preserve">This competitive mode is mainly </w:t>
      </w:r>
      <w:r w:rsidR="00761720" w:rsidRPr="00822D04">
        <w:rPr>
          <w:rFonts w:ascii="Times New Roman" w:hAnsi="Times New Roman" w:cs="Times New Roman"/>
          <w:sz w:val="24"/>
          <w:szCs w:val="24"/>
        </w:rPr>
        <w:t>deployed</w:t>
      </w:r>
      <w:r w:rsidRPr="00822D04">
        <w:rPr>
          <w:rFonts w:ascii="Times New Roman" w:hAnsi="Times New Roman" w:cs="Times New Roman"/>
          <w:sz w:val="24"/>
          <w:szCs w:val="24"/>
        </w:rPr>
        <w:t xml:space="preserve"> by executives when they want to combine business ideas to come up with a new idea which will outdo the former ideas. For the first movers who want to conceive new ideas, bricolage is the best move to make </w:t>
      </w:r>
      <w:r w:rsidR="007E72FB" w:rsidRPr="00822D04">
        <w:rPr>
          <w:rFonts w:ascii="Times New Roman" w:hAnsi="Times New Roman" w:cs="Times New Roman"/>
          <w:sz w:val="24"/>
          <w:szCs w:val="24"/>
          <w:shd w:val="clear" w:color="auto" w:fill="FFFFFF"/>
        </w:rPr>
        <w:t>("Supporting the Business-Level Strategy: Competitive and Cooperative Moves," n.d.)</w:t>
      </w:r>
      <w:r w:rsidRPr="00822D04">
        <w:rPr>
          <w:rFonts w:ascii="Times New Roman" w:hAnsi="Times New Roman" w:cs="Times New Roman"/>
          <w:sz w:val="24"/>
          <w:szCs w:val="24"/>
        </w:rPr>
        <w:t>. However, this first-time mover must be ready to employ enough resources that will enable them to be pioneers in the process. For this move to work well aggressive moves, have to choose by the executives, but the implementation process should be done by the frontline employees.</w:t>
      </w:r>
    </w:p>
    <w:p w:rsidR="004552D0" w:rsidRPr="00822D04" w:rsidRDefault="004552D0" w:rsidP="0029583A">
      <w:pPr>
        <w:spacing w:after="0" w:line="480" w:lineRule="auto"/>
        <w:ind w:firstLine="720"/>
        <w:contextualSpacing/>
        <w:jc w:val="both"/>
        <w:rPr>
          <w:rFonts w:ascii="Times New Roman" w:hAnsi="Times New Roman" w:cs="Times New Roman"/>
          <w:sz w:val="24"/>
          <w:szCs w:val="24"/>
        </w:rPr>
      </w:pPr>
      <w:r w:rsidRPr="00822D04">
        <w:rPr>
          <w:rFonts w:ascii="Times New Roman" w:hAnsi="Times New Roman" w:cs="Times New Roman"/>
          <w:sz w:val="24"/>
          <w:szCs w:val="24"/>
        </w:rPr>
        <w:t xml:space="preserve">Ideally, a real-world example regarding the bricolage move is one of the greatest inventions that have been recorded in the history of civilization. The printing press as illustrated in the wall street journal is one of the classic combinations of innovation (Rich, </w:t>
      </w:r>
      <w:r w:rsidR="007E72FB" w:rsidRPr="00822D04">
        <w:rPr>
          <w:rFonts w:ascii="Times New Roman" w:hAnsi="Times New Roman" w:cs="Times New Roman"/>
          <w:sz w:val="24"/>
          <w:szCs w:val="24"/>
        </w:rPr>
        <w:t>201</w:t>
      </w:r>
      <w:r w:rsidRPr="00822D04">
        <w:rPr>
          <w:rFonts w:ascii="Times New Roman" w:hAnsi="Times New Roman" w:cs="Times New Roman"/>
          <w:sz w:val="24"/>
          <w:szCs w:val="24"/>
        </w:rPr>
        <w:t>6). The four key elements are the paper, ink, the movable type and the press itself were developed separately this was way before even Gutenberg printed his bible in the fifth century.</w:t>
      </w:r>
    </w:p>
    <w:p w:rsidR="004552D0" w:rsidRPr="00822D04" w:rsidRDefault="004552D0" w:rsidP="0029583A">
      <w:pPr>
        <w:spacing w:after="0" w:line="480" w:lineRule="auto"/>
        <w:ind w:firstLine="720"/>
        <w:contextualSpacing/>
        <w:jc w:val="both"/>
        <w:rPr>
          <w:rFonts w:ascii="Times New Roman" w:hAnsi="Times New Roman" w:cs="Times New Roman"/>
          <w:sz w:val="24"/>
          <w:szCs w:val="24"/>
        </w:rPr>
      </w:pPr>
      <w:r w:rsidRPr="00822D04">
        <w:rPr>
          <w:rFonts w:ascii="Times New Roman" w:hAnsi="Times New Roman" w:cs="Times New Roman"/>
          <w:sz w:val="24"/>
          <w:szCs w:val="24"/>
        </w:rPr>
        <w:t>Another example of the bricolage move is the creation of the movable type. The movable type was conceived by one independent Chine Blacksmith who goes by the name Pi Sheng it is now four centuries since the conception of this idea. The press in this idea was adopted from a screw press that was used in Germany for the production of mine in large quantities. Gutenberg had to make use of the initial idea that was in the production of wine and used them productively and uniquely to create a new product (Ulfa and Marta, 2017).</w:t>
      </w:r>
    </w:p>
    <w:p w:rsidR="007014B6" w:rsidRPr="00822D04" w:rsidRDefault="007014B6">
      <w:pPr>
        <w:spacing w:after="160" w:line="259" w:lineRule="auto"/>
        <w:rPr>
          <w:rFonts w:ascii="Times New Roman" w:eastAsia="Times New Roman" w:hAnsi="Times New Roman" w:cs="Times New Roman"/>
          <w:bCs/>
          <w:sz w:val="24"/>
          <w:szCs w:val="24"/>
        </w:rPr>
      </w:pPr>
      <w:r w:rsidRPr="00822D04">
        <w:rPr>
          <w:rFonts w:ascii="Times New Roman" w:eastAsia="Times New Roman" w:hAnsi="Times New Roman" w:cs="Times New Roman"/>
          <w:bCs/>
          <w:sz w:val="24"/>
          <w:szCs w:val="24"/>
        </w:rPr>
        <w:lastRenderedPageBreak/>
        <w:br w:type="page"/>
      </w:r>
    </w:p>
    <w:p w:rsidR="004552D0" w:rsidRPr="00822D04" w:rsidRDefault="004552D0" w:rsidP="0029583A">
      <w:pPr>
        <w:pStyle w:val="Heading2"/>
        <w:spacing w:before="0" w:line="480" w:lineRule="auto"/>
        <w:contextualSpacing/>
        <w:jc w:val="center"/>
        <w:rPr>
          <w:rFonts w:ascii="Times New Roman" w:eastAsia="Times New Roman" w:hAnsi="Times New Roman" w:cs="Times New Roman"/>
          <w:bCs/>
          <w:color w:val="auto"/>
          <w:sz w:val="24"/>
          <w:szCs w:val="24"/>
        </w:rPr>
      </w:pPr>
      <w:r w:rsidRPr="00822D04">
        <w:rPr>
          <w:rFonts w:ascii="Times New Roman" w:eastAsia="Times New Roman" w:hAnsi="Times New Roman" w:cs="Times New Roman"/>
          <w:bCs/>
          <w:color w:val="auto"/>
          <w:sz w:val="24"/>
          <w:szCs w:val="24"/>
        </w:rPr>
        <w:lastRenderedPageBreak/>
        <w:t>References</w:t>
      </w:r>
    </w:p>
    <w:p w:rsidR="007E72FB" w:rsidRPr="00822D04" w:rsidRDefault="007E72FB" w:rsidP="0029583A">
      <w:pPr>
        <w:spacing w:after="0" w:line="480" w:lineRule="auto"/>
        <w:ind w:left="720" w:hanging="720"/>
        <w:contextualSpacing/>
        <w:rPr>
          <w:rFonts w:ascii="Times New Roman" w:hAnsi="Times New Roman" w:cs="Times New Roman"/>
          <w:sz w:val="24"/>
          <w:szCs w:val="24"/>
          <w:shd w:val="clear" w:color="auto" w:fill="FFFFFF"/>
        </w:rPr>
      </w:pPr>
      <w:r w:rsidRPr="00822D04">
        <w:rPr>
          <w:rFonts w:ascii="Times New Roman" w:hAnsi="Times New Roman" w:cs="Times New Roman"/>
          <w:sz w:val="24"/>
          <w:szCs w:val="24"/>
          <w:shd w:val="clear" w:color="auto" w:fill="FFFFFF"/>
        </w:rPr>
        <w:t xml:space="preserve">Supporting the Business-Level Strategy: Competitive and Cooperative Moves. (n.d.). Retrieved from </w:t>
      </w:r>
      <w:hyperlink r:id="rId6" w:history="1">
        <w:r w:rsidRPr="00822D04">
          <w:rPr>
            <w:rStyle w:val="Hyperlink"/>
            <w:rFonts w:ascii="Times New Roman" w:hAnsi="Times New Roman" w:cs="Times New Roman"/>
            <w:color w:val="auto"/>
            <w:sz w:val="24"/>
            <w:szCs w:val="24"/>
            <w:shd w:val="clear" w:color="auto" w:fill="FFFFFF"/>
          </w:rPr>
          <w:t>http://jsmith.cis.byuh.edu/books/strategic-management-evaluation-and-execution/s10-supporting-the-business-level-.html</w:t>
        </w:r>
      </w:hyperlink>
    </w:p>
    <w:p w:rsidR="004552D0" w:rsidRPr="00822D04" w:rsidRDefault="007E72FB" w:rsidP="0029583A">
      <w:pPr>
        <w:spacing w:after="0" w:line="480" w:lineRule="auto"/>
        <w:ind w:left="720" w:hanging="720"/>
        <w:contextualSpacing/>
        <w:rPr>
          <w:rFonts w:ascii="Times New Roman" w:eastAsia="Times New Roman" w:hAnsi="Times New Roman" w:cs="Times New Roman"/>
          <w:sz w:val="24"/>
          <w:szCs w:val="24"/>
        </w:rPr>
      </w:pPr>
      <w:r w:rsidRPr="00822D04">
        <w:rPr>
          <w:rFonts w:ascii="Times New Roman" w:eastAsia="Times New Roman" w:hAnsi="Times New Roman" w:cs="Times New Roman"/>
          <w:sz w:val="24"/>
          <w:szCs w:val="24"/>
        </w:rPr>
        <w:t>Rich, M. (201</w:t>
      </w:r>
      <w:r w:rsidR="004552D0" w:rsidRPr="00822D04">
        <w:rPr>
          <w:rFonts w:ascii="Times New Roman" w:eastAsia="Times New Roman" w:hAnsi="Times New Roman" w:cs="Times New Roman"/>
          <w:sz w:val="24"/>
          <w:szCs w:val="24"/>
        </w:rPr>
        <w:t xml:space="preserve">6). Strategy Moves: 14 Complete Attack and Defense Strategies for Competitive Advantage. </w:t>
      </w:r>
      <w:r w:rsidR="004552D0" w:rsidRPr="00822D04">
        <w:rPr>
          <w:rFonts w:ascii="Times New Roman" w:eastAsia="Times New Roman" w:hAnsi="Times New Roman" w:cs="Times New Roman"/>
          <w:i/>
          <w:iCs/>
          <w:sz w:val="24"/>
          <w:szCs w:val="24"/>
        </w:rPr>
        <w:t>Journal of Business &amp; Industrial Marketing</w:t>
      </w:r>
      <w:r w:rsidR="004552D0" w:rsidRPr="00822D04">
        <w:rPr>
          <w:rFonts w:ascii="Times New Roman" w:eastAsia="Times New Roman" w:hAnsi="Times New Roman" w:cs="Times New Roman"/>
          <w:sz w:val="24"/>
          <w:szCs w:val="24"/>
        </w:rPr>
        <w:t>, 21(4).</w:t>
      </w:r>
    </w:p>
    <w:p w:rsidR="004552D0" w:rsidRPr="00822D04" w:rsidRDefault="004552D0" w:rsidP="0029583A">
      <w:pPr>
        <w:spacing w:after="0" w:line="480" w:lineRule="auto"/>
        <w:ind w:left="720" w:hanging="720"/>
        <w:contextualSpacing/>
        <w:rPr>
          <w:rFonts w:ascii="Times New Roman" w:eastAsia="Times New Roman" w:hAnsi="Times New Roman" w:cs="Times New Roman"/>
          <w:sz w:val="24"/>
          <w:szCs w:val="24"/>
        </w:rPr>
      </w:pPr>
      <w:r w:rsidRPr="00822D04">
        <w:rPr>
          <w:rFonts w:ascii="Times New Roman" w:eastAsia="Times New Roman" w:hAnsi="Times New Roman" w:cs="Times New Roman"/>
          <w:sz w:val="24"/>
          <w:szCs w:val="24"/>
        </w:rPr>
        <w:t xml:space="preserve">Zane, L. and Kline, W. (2017). Competitive Moves: The Influence of Industry Context and Individual Cognitive Factors. </w:t>
      </w:r>
      <w:r w:rsidRPr="00822D04">
        <w:rPr>
          <w:rFonts w:ascii="Times New Roman" w:eastAsia="Times New Roman" w:hAnsi="Times New Roman" w:cs="Times New Roman"/>
          <w:i/>
          <w:iCs/>
          <w:sz w:val="24"/>
          <w:szCs w:val="24"/>
        </w:rPr>
        <w:t>Entrepreneurship Research Journal</w:t>
      </w:r>
      <w:r w:rsidRPr="00822D04">
        <w:rPr>
          <w:rFonts w:ascii="Times New Roman" w:eastAsia="Times New Roman" w:hAnsi="Times New Roman" w:cs="Times New Roman"/>
          <w:sz w:val="24"/>
          <w:szCs w:val="24"/>
        </w:rPr>
        <w:t>, 7(1).</w:t>
      </w:r>
    </w:p>
    <w:p w:rsidR="004552D0" w:rsidRPr="00822D04" w:rsidRDefault="004552D0" w:rsidP="0029583A">
      <w:pPr>
        <w:spacing w:after="0" w:line="480" w:lineRule="auto"/>
        <w:ind w:left="720" w:hanging="720"/>
        <w:contextualSpacing/>
        <w:rPr>
          <w:rFonts w:ascii="Times New Roman" w:hAnsi="Times New Roman" w:cs="Times New Roman"/>
          <w:sz w:val="24"/>
          <w:szCs w:val="24"/>
        </w:rPr>
      </w:pPr>
    </w:p>
    <w:p w:rsidR="004552D0" w:rsidRPr="00822D04" w:rsidRDefault="004552D0" w:rsidP="0029583A">
      <w:pPr>
        <w:spacing w:after="0" w:line="480" w:lineRule="auto"/>
        <w:ind w:left="720" w:hanging="720"/>
        <w:contextualSpacing/>
        <w:rPr>
          <w:rFonts w:ascii="Times New Roman" w:hAnsi="Times New Roman" w:cs="Times New Roman"/>
          <w:sz w:val="24"/>
          <w:szCs w:val="24"/>
        </w:rPr>
      </w:pPr>
    </w:p>
    <w:sectPr w:rsidR="004552D0" w:rsidRPr="00822D04" w:rsidSect="00912CB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B26" w:rsidRDefault="00571B26" w:rsidP="00912CB3">
      <w:pPr>
        <w:spacing w:after="0" w:line="240" w:lineRule="auto"/>
      </w:pPr>
      <w:r>
        <w:separator/>
      </w:r>
    </w:p>
  </w:endnote>
  <w:endnote w:type="continuationSeparator" w:id="0">
    <w:p w:rsidR="00571B26" w:rsidRDefault="00571B26" w:rsidP="00912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B26" w:rsidRDefault="00571B26" w:rsidP="00912CB3">
      <w:pPr>
        <w:spacing w:after="0" w:line="240" w:lineRule="auto"/>
      </w:pPr>
      <w:r>
        <w:separator/>
      </w:r>
    </w:p>
  </w:footnote>
  <w:footnote w:type="continuationSeparator" w:id="0">
    <w:p w:rsidR="00571B26" w:rsidRDefault="00571B26" w:rsidP="00912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87081102"/>
      <w:docPartObj>
        <w:docPartGallery w:val="Page Numbers (Top of Page)"/>
        <w:docPartUnique/>
      </w:docPartObj>
    </w:sdtPr>
    <w:sdtEndPr>
      <w:rPr>
        <w:noProof/>
      </w:rPr>
    </w:sdtEndPr>
    <w:sdtContent>
      <w:p w:rsidR="00912CB3" w:rsidRPr="00912CB3" w:rsidRDefault="00571B26" w:rsidP="00912CB3">
        <w:pPr>
          <w:widowControl w:val="0"/>
          <w:suppressAutoHyphens/>
          <w:spacing w:after="0" w:line="480" w:lineRule="auto"/>
          <w:rPr>
            <w:rFonts w:ascii="Times New Roman" w:eastAsia="Lucida Sans Unicode" w:hAnsi="Times New Roman" w:cs="Times New Roman"/>
            <w:kern w:val="2"/>
            <w:sz w:val="24"/>
            <w:szCs w:val="24"/>
            <w:lang w:val="en-GB" w:eastAsia="hi-IN" w:bidi="hi-IN"/>
          </w:rPr>
        </w:pPr>
        <w:sdt>
          <w:sdtPr>
            <w:rPr>
              <w:rFonts w:ascii="Times New Roman" w:hAnsi="Times New Roman" w:cs="Times New Roman"/>
              <w:sz w:val="24"/>
              <w:szCs w:val="24"/>
            </w:rPr>
            <w:id w:val="-1071195892"/>
            <w:docPartObj>
              <w:docPartGallery w:val="Page Numbers (Top of Page)"/>
              <w:docPartUnique/>
            </w:docPartObj>
          </w:sdtPr>
          <w:sdtEndPr>
            <w:rPr>
              <w:noProof/>
            </w:rPr>
          </w:sdtEndPr>
          <w:sdtContent>
            <w:r w:rsidR="004552D0" w:rsidRPr="004971DE">
              <w:rPr>
                <w:rFonts w:ascii="Times New Roman" w:hAnsi="Times New Roman" w:cs="Times New Roman"/>
                <w:sz w:val="24"/>
                <w:szCs w:val="24"/>
              </w:rPr>
              <w:t>BRICOLAGE</w:t>
            </w:r>
          </w:sdtContent>
        </w:sdt>
        <w:r w:rsidR="004552D0">
          <w:rPr>
            <w:rFonts w:ascii="Times New Roman" w:hAnsi="Times New Roman" w:cs="Times New Roman"/>
            <w:noProof/>
            <w:sz w:val="24"/>
            <w:szCs w:val="24"/>
          </w:rPr>
          <w:tab/>
          <w:t xml:space="preserve"> MOVE</w:t>
        </w:r>
        <w:r w:rsidR="00912CB3">
          <w:rPr>
            <w:rFonts w:ascii="Times New Roman" w:hAnsi="Times New Roman" w:cs="Times New Roman"/>
            <w:noProof/>
            <w:sz w:val="24"/>
            <w:szCs w:val="24"/>
          </w:rPr>
          <w:tab/>
        </w:r>
        <w:r w:rsidR="00912CB3">
          <w:rPr>
            <w:rFonts w:ascii="Times New Roman" w:hAnsi="Times New Roman" w:cs="Times New Roman"/>
            <w:noProof/>
            <w:sz w:val="24"/>
            <w:szCs w:val="24"/>
          </w:rPr>
          <w:tab/>
        </w:r>
        <w:r w:rsidR="00912CB3">
          <w:rPr>
            <w:rFonts w:ascii="Times New Roman" w:hAnsi="Times New Roman" w:cs="Times New Roman"/>
            <w:noProof/>
            <w:sz w:val="24"/>
            <w:szCs w:val="24"/>
          </w:rPr>
          <w:tab/>
        </w:r>
        <w:r w:rsidR="00912CB3">
          <w:rPr>
            <w:rFonts w:ascii="Times New Roman" w:hAnsi="Times New Roman" w:cs="Times New Roman"/>
            <w:noProof/>
            <w:sz w:val="24"/>
            <w:szCs w:val="24"/>
          </w:rPr>
          <w:tab/>
        </w:r>
        <w:r w:rsidR="00912CB3">
          <w:rPr>
            <w:rFonts w:ascii="Times New Roman" w:hAnsi="Times New Roman" w:cs="Times New Roman"/>
            <w:noProof/>
            <w:sz w:val="24"/>
            <w:szCs w:val="24"/>
          </w:rPr>
          <w:tab/>
        </w:r>
        <w:r w:rsidR="00912CB3">
          <w:rPr>
            <w:rFonts w:ascii="Times New Roman" w:hAnsi="Times New Roman" w:cs="Times New Roman"/>
            <w:noProof/>
            <w:sz w:val="24"/>
            <w:szCs w:val="24"/>
          </w:rPr>
          <w:tab/>
        </w:r>
        <w:r w:rsidR="00912CB3">
          <w:rPr>
            <w:rFonts w:ascii="Times New Roman" w:hAnsi="Times New Roman" w:cs="Times New Roman"/>
            <w:noProof/>
            <w:sz w:val="24"/>
            <w:szCs w:val="24"/>
          </w:rPr>
          <w:tab/>
        </w:r>
        <w:r w:rsidR="00B50341" w:rsidRPr="00912CB3">
          <w:rPr>
            <w:rFonts w:ascii="Times New Roman" w:hAnsi="Times New Roman" w:cs="Times New Roman"/>
            <w:sz w:val="24"/>
            <w:szCs w:val="24"/>
          </w:rPr>
          <w:fldChar w:fldCharType="begin"/>
        </w:r>
        <w:r w:rsidR="00912CB3" w:rsidRPr="00912CB3">
          <w:rPr>
            <w:rFonts w:ascii="Times New Roman" w:hAnsi="Times New Roman" w:cs="Times New Roman"/>
            <w:sz w:val="24"/>
            <w:szCs w:val="24"/>
          </w:rPr>
          <w:instrText xml:space="preserve"> PAGE   \* MERGEFORMAT </w:instrText>
        </w:r>
        <w:r w:rsidR="00B50341" w:rsidRPr="00912CB3">
          <w:rPr>
            <w:rFonts w:ascii="Times New Roman" w:hAnsi="Times New Roman" w:cs="Times New Roman"/>
            <w:sz w:val="24"/>
            <w:szCs w:val="24"/>
          </w:rPr>
          <w:fldChar w:fldCharType="separate"/>
        </w:r>
        <w:r w:rsidR="00EE2D51">
          <w:rPr>
            <w:rFonts w:ascii="Times New Roman" w:hAnsi="Times New Roman" w:cs="Times New Roman"/>
            <w:noProof/>
            <w:sz w:val="24"/>
            <w:szCs w:val="24"/>
          </w:rPr>
          <w:t>2</w:t>
        </w:r>
        <w:r w:rsidR="00B50341" w:rsidRPr="00912CB3">
          <w:rPr>
            <w:rFonts w:ascii="Times New Roman" w:hAnsi="Times New Roman" w:cs="Times New Roman"/>
            <w:noProof/>
            <w:sz w:val="24"/>
            <w:szCs w:val="24"/>
          </w:rPr>
          <w:fldChar w:fldCharType="end"/>
        </w:r>
      </w:p>
    </w:sdtContent>
  </w:sdt>
  <w:p w:rsidR="00912CB3" w:rsidRPr="00912CB3" w:rsidRDefault="00912CB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CB3" w:rsidRPr="00912CB3" w:rsidRDefault="004552D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4971DE">
      <w:rPr>
        <w:rFonts w:ascii="Times New Roman" w:hAnsi="Times New Roman" w:cs="Times New Roman"/>
        <w:sz w:val="24"/>
        <w:szCs w:val="24"/>
      </w:rPr>
      <w:t>BRICOLAGE</w:t>
    </w:r>
    <w:r>
      <w:rPr>
        <w:rFonts w:ascii="Times New Roman" w:hAnsi="Times New Roman" w:cs="Times New Roman"/>
        <w:sz w:val="24"/>
        <w:szCs w:val="24"/>
      </w:rPr>
      <w:t xml:space="preserve"> MOVE</w:t>
    </w:r>
    <w:r w:rsidR="00912CB3">
      <w:rPr>
        <w:rFonts w:ascii="Times New Roman" w:hAnsi="Times New Roman" w:cs="Times New Roman"/>
        <w:noProof/>
        <w:sz w:val="24"/>
        <w:szCs w:val="24"/>
      </w:rPr>
      <w:tab/>
    </w:r>
    <w:r w:rsidR="00912CB3">
      <w:rPr>
        <w:rFonts w:ascii="Times New Roman" w:hAnsi="Times New Roman" w:cs="Times New Roman"/>
        <w:noProof/>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0A9"/>
    <w:rsid w:val="0028741C"/>
    <w:rsid w:val="0029583A"/>
    <w:rsid w:val="002C0149"/>
    <w:rsid w:val="004552D0"/>
    <w:rsid w:val="004A40A9"/>
    <w:rsid w:val="00571B26"/>
    <w:rsid w:val="006E475A"/>
    <w:rsid w:val="007014B6"/>
    <w:rsid w:val="00761720"/>
    <w:rsid w:val="007E72FB"/>
    <w:rsid w:val="00822D04"/>
    <w:rsid w:val="00912CB3"/>
    <w:rsid w:val="009A11B9"/>
    <w:rsid w:val="00A06DD3"/>
    <w:rsid w:val="00B50341"/>
    <w:rsid w:val="00B5509E"/>
    <w:rsid w:val="00C415E7"/>
    <w:rsid w:val="00CB7E1D"/>
    <w:rsid w:val="00DF0414"/>
    <w:rsid w:val="00E11D42"/>
    <w:rsid w:val="00EE2D51"/>
    <w:rsid w:val="00F62D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C1617"/>
  <w15:docId w15:val="{2E856674-7921-4009-8D52-22CE88B66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CB3"/>
    <w:pPr>
      <w:spacing w:after="200" w:line="276" w:lineRule="auto"/>
    </w:pPr>
    <w:rPr>
      <w:lang w:val="en-US"/>
    </w:rPr>
  </w:style>
  <w:style w:type="paragraph" w:styleId="Heading2">
    <w:name w:val="heading 2"/>
    <w:basedOn w:val="Normal"/>
    <w:next w:val="Normal"/>
    <w:link w:val="Heading2Char"/>
    <w:uiPriority w:val="9"/>
    <w:semiHidden/>
    <w:unhideWhenUsed/>
    <w:qFormat/>
    <w:rsid w:val="004552D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C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2CB3"/>
    <w:rPr>
      <w:lang w:val="en-US"/>
    </w:rPr>
  </w:style>
  <w:style w:type="paragraph" w:styleId="Footer">
    <w:name w:val="footer"/>
    <w:basedOn w:val="Normal"/>
    <w:link w:val="FooterChar"/>
    <w:uiPriority w:val="99"/>
    <w:unhideWhenUsed/>
    <w:rsid w:val="00912C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2CB3"/>
    <w:rPr>
      <w:lang w:val="en-US"/>
    </w:rPr>
  </w:style>
  <w:style w:type="character" w:customStyle="1" w:styleId="Heading2Char">
    <w:name w:val="Heading 2 Char"/>
    <w:basedOn w:val="DefaultParagraphFont"/>
    <w:link w:val="Heading2"/>
    <w:uiPriority w:val="9"/>
    <w:semiHidden/>
    <w:rsid w:val="004552D0"/>
    <w:rPr>
      <w:rFonts w:asciiTheme="majorHAnsi" w:eastAsiaTheme="majorEastAsia" w:hAnsiTheme="majorHAnsi" w:cstheme="majorBidi"/>
      <w:color w:val="2E74B5" w:themeColor="accent1" w:themeShade="BF"/>
      <w:sz w:val="26"/>
      <w:szCs w:val="26"/>
      <w:lang w:val="en-US"/>
    </w:rPr>
  </w:style>
  <w:style w:type="character" w:styleId="Hyperlink">
    <w:name w:val="Hyperlink"/>
    <w:basedOn w:val="DefaultParagraphFont"/>
    <w:uiPriority w:val="99"/>
    <w:unhideWhenUsed/>
    <w:rsid w:val="007E72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111165">
      <w:bodyDiv w:val="1"/>
      <w:marLeft w:val="0"/>
      <w:marRight w:val="0"/>
      <w:marTop w:val="0"/>
      <w:marBottom w:val="0"/>
      <w:divBdr>
        <w:top w:val="none" w:sz="0" w:space="0" w:color="auto"/>
        <w:left w:val="none" w:sz="0" w:space="0" w:color="auto"/>
        <w:bottom w:val="none" w:sz="0" w:space="0" w:color="auto"/>
        <w:right w:val="none" w:sz="0" w:space="0" w:color="auto"/>
      </w:divBdr>
    </w:div>
    <w:div w:id="41840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smith.cis.byuh.edu/books/strategic-management-evaluation-and-execution/s10-supporting-the-business-level-.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Captain101</cp:lastModifiedBy>
  <cp:revision>2</cp:revision>
  <dcterms:created xsi:type="dcterms:W3CDTF">2018-10-15T15:28:00Z</dcterms:created>
  <dcterms:modified xsi:type="dcterms:W3CDTF">2018-10-15T15:28:00Z</dcterms:modified>
</cp:coreProperties>
</file>